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796"/>
        <w:gridCol w:w="1854"/>
        <w:gridCol w:w="649"/>
        <w:gridCol w:w="2606"/>
      </w:tblGrid>
      <w:tr w:rsidR="00E23DF7" w:rsidRPr="009D7D72" w14:paraId="268AB1C1" w14:textId="77777777" w:rsidTr="00503D55">
        <w:trPr>
          <w:trHeight w:val="227"/>
        </w:trPr>
        <w:tc>
          <w:tcPr>
            <w:tcW w:w="9287" w:type="dxa"/>
            <w:gridSpan w:val="5"/>
            <w:vAlign w:val="center"/>
          </w:tcPr>
          <w:p w14:paraId="457EA4F2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 xml:space="preserve">Студијски програм: </w:t>
            </w:r>
            <w:r w:rsidRPr="009D7D72">
              <w:rPr>
                <w:i/>
              </w:rPr>
              <w:t>Финансије и банкарство</w:t>
            </w:r>
            <w:r w:rsidRPr="009D7D72">
              <w:t>, Мастер академске студије, други ниво</w:t>
            </w:r>
          </w:p>
        </w:tc>
      </w:tr>
      <w:tr w:rsidR="00E23DF7" w:rsidRPr="009D7D72" w14:paraId="61F49A68" w14:textId="77777777" w:rsidTr="00503D55">
        <w:trPr>
          <w:trHeight w:val="227"/>
        </w:trPr>
        <w:tc>
          <w:tcPr>
            <w:tcW w:w="9287" w:type="dxa"/>
            <w:gridSpan w:val="5"/>
            <w:vAlign w:val="center"/>
          </w:tcPr>
          <w:p w14:paraId="31D20AC9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>Назив предмета: Менаџмент у банкарству</w:t>
            </w:r>
          </w:p>
        </w:tc>
      </w:tr>
      <w:tr w:rsidR="00E23DF7" w:rsidRPr="009D7D72" w14:paraId="15B41444" w14:textId="77777777" w:rsidTr="00503D55">
        <w:trPr>
          <w:trHeight w:val="227"/>
        </w:trPr>
        <w:tc>
          <w:tcPr>
            <w:tcW w:w="9287" w:type="dxa"/>
            <w:gridSpan w:val="5"/>
            <w:vAlign w:val="center"/>
          </w:tcPr>
          <w:p w14:paraId="7FD47C5E" w14:textId="10B6F305" w:rsidR="00E23DF7" w:rsidRPr="00B340FD" w:rsidRDefault="00E23DF7" w:rsidP="00F36F51">
            <w:pPr>
              <w:framePr w:hSpace="0" w:wrap="auto" w:vAnchor="margin" w:hAnchor="text" w:yAlign="inline"/>
              <w:rPr>
                <w:b/>
                <w:lang w:val="sr-Cyrl-RS"/>
              </w:rPr>
            </w:pPr>
            <w:r w:rsidRPr="009D7D72">
              <w:rPr>
                <w:b/>
              </w:rPr>
              <w:t>Наставник:</w:t>
            </w:r>
            <w:r w:rsidR="00C13984">
              <w:t xml:space="preserve"> </w:t>
            </w:r>
            <w:r w:rsidR="00B340FD" w:rsidRPr="00A856F4">
              <w:rPr>
                <w:lang w:val="sr-Cyrl-RS"/>
              </w:rPr>
              <w:t>Милошевић Данијела</w:t>
            </w:r>
          </w:p>
        </w:tc>
      </w:tr>
      <w:tr w:rsidR="00E23DF7" w:rsidRPr="009D7D72" w14:paraId="451313F7" w14:textId="77777777" w:rsidTr="00503D55">
        <w:trPr>
          <w:trHeight w:val="227"/>
        </w:trPr>
        <w:tc>
          <w:tcPr>
            <w:tcW w:w="9287" w:type="dxa"/>
            <w:gridSpan w:val="5"/>
            <w:vAlign w:val="center"/>
          </w:tcPr>
          <w:p w14:paraId="387A40C2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rPr>
                <w:b/>
              </w:rPr>
              <w:t xml:space="preserve">Статус предмета: </w:t>
            </w:r>
            <w:r w:rsidRPr="009D7D72">
              <w:t>изборни, прва година, други семестар</w:t>
            </w:r>
          </w:p>
        </w:tc>
      </w:tr>
      <w:tr w:rsidR="00E23DF7" w:rsidRPr="009D7D72" w14:paraId="5FA4B701" w14:textId="77777777" w:rsidTr="00503D55">
        <w:trPr>
          <w:trHeight w:val="227"/>
        </w:trPr>
        <w:tc>
          <w:tcPr>
            <w:tcW w:w="9287" w:type="dxa"/>
            <w:gridSpan w:val="5"/>
            <w:vAlign w:val="center"/>
          </w:tcPr>
          <w:p w14:paraId="07F1BB22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>Број ЕСПБ:7</w:t>
            </w:r>
          </w:p>
        </w:tc>
      </w:tr>
      <w:tr w:rsidR="00E23DF7" w:rsidRPr="009D7D72" w14:paraId="1C3EA8E8" w14:textId="77777777" w:rsidTr="00503D55">
        <w:trPr>
          <w:trHeight w:val="227"/>
        </w:trPr>
        <w:tc>
          <w:tcPr>
            <w:tcW w:w="9287" w:type="dxa"/>
            <w:gridSpan w:val="5"/>
            <w:vAlign w:val="center"/>
          </w:tcPr>
          <w:p w14:paraId="4D0D8F48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>Услов:нема</w:t>
            </w:r>
          </w:p>
        </w:tc>
      </w:tr>
      <w:tr w:rsidR="00E23DF7" w:rsidRPr="009D7D72" w14:paraId="45C9470B" w14:textId="77777777" w:rsidTr="00503D55">
        <w:trPr>
          <w:trHeight w:val="227"/>
        </w:trPr>
        <w:tc>
          <w:tcPr>
            <w:tcW w:w="9287" w:type="dxa"/>
            <w:gridSpan w:val="5"/>
            <w:vAlign w:val="center"/>
          </w:tcPr>
          <w:p w14:paraId="2AE28767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>Циљ предмета</w:t>
            </w:r>
          </w:p>
          <w:p w14:paraId="4F7139F5" w14:textId="77777777" w:rsidR="00E23DF7" w:rsidRPr="009D7D72" w:rsidRDefault="00E23DF7" w:rsidP="00F36F51">
            <w:pPr>
              <w:framePr w:hSpace="0" w:wrap="auto" w:vAnchor="margin" w:hAnchor="text" w:yAlign="inline"/>
              <w:rPr>
                <w:b/>
                <w:bCs/>
              </w:rPr>
            </w:pPr>
            <w:r w:rsidRPr="009D7D72">
              <w:t>Основни циљ предмета је упознавање студената са кључним</w:t>
            </w:r>
            <w:r w:rsidR="00A56B3F">
              <w:t xml:space="preserve"> </w:t>
            </w:r>
            <w:r w:rsidRPr="009D7D72">
              <w:t>аспектима</w:t>
            </w:r>
            <w:r w:rsidR="00A56B3F">
              <w:t xml:space="preserve"> </w:t>
            </w:r>
            <w:r w:rsidRPr="009D7D72">
              <w:t>стратегијског</w:t>
            </w:r>
            <w:r w:rsidRPr="009D7D72">
              <w:rPr>
                <w:lang w:val="de-DE"/>
              </w:rPr>
              <w:t xml:space="preserve">, </w:t>
            </w:r>
            <w:r w:rsidRPr="009D7D72">
              <w:t>тактичког</w:t>
            </w:r>
            <w:r w:rsidR="00A56B3F">
              <w:t xml:space="preserve"> </w:t>
            </w:r>
            <w:r w:rsidRPr="009D7D72">
              <w:t>и</w:t>
            </w:r>
            <w:r w:rsidR="00A56B3F">
              <w:t xml:space="preserve"> </w:t>
            </w:r>
            <w:r w:rsidRPr="009D7D72">
              <w:t>оперативног</w:t>
            </w:r>
            <w:r w:rsidR="00A56B3F">
              <w:t xml:space="preserve"> </w:t>
            </w:r>
            <w:r w:rsidRPr="009D7D72">
              <w:t>управљања банком, као и  нивоима и подручјима</w:t>
            </w:r>
            <w:r w:rsidR="00A56B3F">
              <w:t xml:space="preserve"> </w:t>
            </w:r>
            <w:r w:rsidRPr="009D7D72">
              <w:t>управљања</w:t>
            </w:r>
            <w:r w:rsidR="00A56B3F">
              <w:t xml:space="preserve"> </w:t>
            </w:r>
            <w:r w:rsidRPr="009D7D72">
              <w:t>кључним ризицима</w:t>
            </w:r>
            <w:r w:rsidR="00A56B3F">
              <w:t xml:space="preserve"> </w:t>
            </w:r>
            <w:r w:rsidRPr="009D7D72">
              <w:t>у</w:t>
            </w:r>
            <w:r w:rsidR="00A56B3F">
              <w:t xml:space="preserve"> </w:t>
            </w:r>
            <w:r w:rsidRPr="009D7D72">
              <w:t>пословању</w:t>
            </w:r>
            <w:r w:rsidR="00A56B3F">
              <w:t xml:space="preserve"> </w:t>
            </w:r>
            <w:r w:rsidRPr="009D7D72">
              <w:t>банке (кредитни ризик, ризик каматне стопе, ризик девизног курса, ризик инвестиционог прортфолија банке и др.)</w:t>
            </w:r>
            <w:r w:rsidRPr="009D7D72">
              <w:rPr>
                <w:lang w:val="de-DE"/>
              </w:rPr>
              <w:t xml:space="preserve">. </w:t>
            </w:r>
          </w:p>
        </w:tc>
      </w:tr>
      <w:tr w:rsidR="00E23DF7" w:rsidRPr="009D7D72" w14:paraId="57795C10" w14:textId="77777777" w:rsidTr="00503D55">
        <w:trPr>
          <w:trHeight w:val="227"/>
        </w:trPr>
        <w:tc>
          <w:tcPr>
            <w:tcW w:w="9287" w:type="dxa"/>
            <w:gridSpan w:val="5"/>
            <w:vAlign w:val="center"/>
          </w:tcPr>
          <w:p w14:paraId="55B73F12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 xml:space="preserve">Исход предмета </w:t>
            </w:r>
          </w:p>
          <w:p w14:paraId="71FB79B7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rPr>
                <w:noProof/>
              </w:rPr>
              <w:t xml:space="preserve">Након положеног испита студент стиче способност да идентификује потенцијалне ризике у пословању </w:t>
            </w:r>
            <w:r w:rsidR="00A56B3F">
              <w:rPr>
                <w:noProof/>
              </w:rPr>
              <w:t>б</w:t>
            </w:r>
            <w:r w:rsidRPr="009D7D72">
              <w:rPr>
                <w:noProof/>
              </w:rPr>
              <w:t xml:space="preserve">анке, изврши њихово квантификовање, уочи последице ризика и предузме адекватне стратегије за минимизирање и контролу ризика, као и способност сагледавања проширеног концепта управљања ризицима који се базира не само на избегавању већ и на коришћењу ризика, чиме је оспособљен да управља ризицима на интелигентан начин који доприноси стварању вредности. </w:t>
            </w:r>
          </w:p>
        </w:tc>
      </w:tr>
      <w:tr w:rsidR="00E23DF7" w:rsidRPr="009D7D72" w14:paraId="64FB5EE4" w14:textId="77777777" w:rsidTr="00503D55">
        <w:trPr>
          <w:trHeight w:val="227"/>
        </w:trPr>
        <w:tc>
          <w:tcPr>
            <w:tcW w:w="9287" w:type="dxa"/>
            <w:gridSpan w:val="5"/>
            <w:vAlign w:val="center"/>
          </w:tcPr>
          <w:p w14:paraId="65CDB1F2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>Садржај предмета</w:t>
            </w:r>
          </w:p>
          <w:p w14:paraId="1F306C7B" w14:textId="77777777" w:rsidR="00E23DF7" w:rsidRPr="009D7D72" w:rsidRDefault="00E23DF7" w:rsidP="00F36F51">
            <w:pPr>
              <w:framePr w:hSpace="0" w:wrap="auto" w:vAnchor="margin" w:hAnchor="text" w:yAlign="inline"/>
              <w:rPr>
                <w:lang w:val="de-DE"/>
              </w:rPr>
            </w:pPr>
            <w:r w:rsidRPr="009D7D72">
              <w:rPr>
                <w:i/>
                <w:noProof/>
                <w:kern w:val="0"/>
              </w:rPr>
              <w:t xml:space="preserve">Теоријска настава: </w:t>
            </w:r>
            <w:r w:rsidRPr="009D7D72">
              <w:t>Банке</w:t>
            </w:r>
            <w:r w:rsidR="0073509A">
              <w:t xml:space="preserve"> </w:t>
            </w:r>
            <w:r w:rsidRPr="009D7D72">
              <w:t>и</w:t>
            </w:r>
            <w:r w:rsidR="0073509A">
              <w:t xml:space="preserve"> </w:t>
            </w:r>
            <w:r w:rsidRPr="009D7D72">
              <w:t>фактори</w:t>
            </w:r>
            <w:r w:rsidR="0073509A">
              <w:t xml:space="preserve"> </w:t>
            </w:r>
            <w:r w:rsidRPr="009D7D72">
              <w:t>промена</w:t>
            </w:r>
            <w:r w:rsidR="0073509A">
              <w:t xml:space="preserve"> </w:t>
            </w:r>
            <w:r w:rsidRPr="009D7D72">
              <w:t>у</w:t>
            </w:r>
            <w:r w:rsidR="0073509A">
              <w:t xml:space="preserve"> </w:t>
            </w:r>
            <w:r w:rsidRPr="009D7D72">
              <w:t>банкарству. Тржишне</w:t>
            </w:r>
            <w:r w:rsidR="0073509A">
              <w:t xml:space="preserve"> </w:t>
            </w:r>
            <w:r w:rsidRPr="009D7D72">
              <w:t>промене</w:t>
            </w:r>
            <w:r w:rsidR="0073509A">
              <w:t xml:space="preserve"> </w:t>
            </w:r>
            <w:r w:rsidRPr="009D7D72">
              <w:t>и</w:t>
            </w:r>
            <w:r w:rsidR="0073509A">
              <w:t xml:space="preserve"> </w:t>
            </w:r>
            <w:r w:rsidRPr="009D7D72">
              <w:t>конкурентност</w:t>
            </w:r>
            <w:r w:rsidR="0073509A">
              <w:t xml:space="preserve"> </w:t>
            </w:r>
            <w:r w:rsidRPr="009D7D72">
              <w:t>у</w:t>
            </w:r>
            <w:r w:rsidR="0073509A">
              <w:t xml:space="preserve"> </w:t>
            </w:r>
            <w:r w:rsidRPr="009D7D72">
              <w:t>банкарству. Транзиција</w:t>
            </w:r>
            <w:r w:rsidRPr="009D7D72">
              <w:rPr>
                <w:lang w:val="de-DE"/>
              </w:rPr>
              <w:t xml:space="preserve">, </w:t>
            </w:r>
            <w:r w:rsidRPr="009D7D72">
              <w:t>менаџмент</w:t>
            </w:r>
            <w:r w:rsidR="0073509A">
              <w:t xml:space="preserve"> </w:t>
            </w:r>
            <w:r w:rsidRPr="009D7D72">
              <w:t>и</w:t>
            </w:r>
            <w:r w:rsidR="0073509A">
              <w:t xml:space="preserve"> </w:t>
            </w:r>
            <w:r w:rsidRPr="009D7D72">
              <w:t>лидерство</w:t>
            </w:r>
            <w:r w:rsidR="0073509A">
              <w:t xml:space="preserve"> </w:t>
            </w:r>
            <w:r w:rsidRPr="009D7D72">
              <w:t>у</w:t>
            </w:r>
            <w:r w:rsidR="0073509A">
              <w:t xml:space="preserve"> </w:t>
            </w:r>
            <w:r w:rsidRPr="009D7D72">
              <w:t>банкарству. Корпоративни</w:t>
            </w:r>
            <w:r w:rsidR="0073509A">
              <w:t xml:space="preserve"> </w:t>
            </w:r>
            <w:r w:rsidRPr="009D7D72">
              <w:t>концепт</w:t>
            </w:r>
            <w:r w:rsidR="0073509A">
              <w:t xml:space="preserve"> </w:t>
            </w:r>
            <w:r w:rsidRPr="009D7D72">
              <w:t>управљања</w:t>
            </w:r>
            <w:r w:rsidR="0073509A">
              <w:t xml:space="preserve"> </w:t>
            </w:r>
            <w:r w:rsidRPr="009D7D72">
              <w:t>ризицима</w:t>
            </w:r>
            <w:r w:rsidR="0073509A">
              <w:t xml:space="preserve"> </w:t>
            </w:r>
            <w:r w:rsidRPr="009D7D72">
              <w:t>банке.Управљање</w:t>
            </w:r>
            <w:r w:rsidR="00A20BA7">
              <w:t xml:space="preserve"> </w:t>
            </w:r>
            <w:r w:rsidRPr="009D7D72">
              <w:t>билансом</w:t>
            </w:r>
            <w:r w:rsidR="00A20BA7">
              <w:t xml:space="preserve"> </w:t>
            </w:r>
            <w:r w:rsidRPr="009D7D72">
              <w:t>пословне</w:t>
            </w:r>
            <w:r w:rsidR="00A20BA7">
              <w:t xml:space="preserve"> </w:t>
            </w:r>
            <w:r w:rsidRPr="009D7D72">
              <w:t>банке. Управљање</w:t>
            </w:r>
            <w:r w:rsidR="00A20BA7">
              <w:t xml:space="preserve"> </w:t>
            </w:r>
            <w:r w:rsidRPr="009D7D72">
              <w:t>корпоративним</w:t>
            </w:r>
            <w:r w:rsidR="00A20BA7">
              <w:t xml:space="preserve"> </w:t>
            </w:r>
            <w:r w:rsidRPr="009D7D72">
              <w:t>ризицима</w:t>
            </w:r>
            <w:r w:rsidR="00A20BA7">
              <w:t xml:space="preserve"> </w:t>
            </w:r>
            <w:r w:rsidRPr="009D7D72">
              <w:t>банке. Управљање</w:t>
            </w:r>
            <w:r w:rsidR="00A20BA7">
              <w:t xml:space="preserve"> </w:t>
            </w:r>
            <w:r w:rsidRPr="009D7D72">
              <w:t>квалитетом</w:t>
            </w:r>
            <w:r w:rsidR="00A20BA7">
              <w:t xml:space="preserve"> </w:t>
            </w:r>
            <w:r w:rsidRPr="009D7D72">
              <w:t>пословања</w:t>
            </w:r>
            <w:r w:rsidR="00A20BA7">
              <w:t xml:space="preserve"> </w:t>
            </w:r>
            <w:r w:rsidRPr="009D7D72">
              <w:t>банке. Управљање</w:t>
            </w:r>
            <w:r w:rsidR="00A20BA7">
              <w:t xml:space="preserve"> </w:t>
            </w:r>
            <w:r w:rsidRPr="009D7D72">
              <w:t>растом</w:t>
            </w:r>
            <w:r w:rsidR="00A20BA7">
              <w:t xml:space="preserve"> </w:t>
            </w:r>
            <w:r w:rsidRPr="009D7D72">
              <w:t>вредности</w:t>
            </w:r>
            <w:r w:rsidR="00A20BA7">
              <w:t xml:space="preserve"> </w:t>
            </w:r>
            <w:r w:rsidRPr="009D7D72">
              <w:t>банке. Портфолио</w:t>
            </w:r>
            <w:r w:rsidR="00A20BA7">
              <w:t xml:space="preserve"> </w:t>
            </w:r>
            <w:r w:rsidRPr="009D7D72">
              <w:t>концепт</w:t>
            </w:r>
            <w:r w:rsidR="00A20BA7">
              <w:t xml:space="preserve"> управљањa </w:t>
            </w:r>
            <w:r w:rsidRPr="009D7D72">
              <w:t>ризицима</w:t>
            </w:r>
            <w:r w:rsidR="00A20BA7">
              <w:t xml:space="preserve"> </w:t>
            </w:r>
            <w:r w:rsidRPr="009D7D72">
              <w:t>банке. Управљање</w:t>
            </w:r>
            <w:r w:rsidR="00A20BA7">
              <w:t xml:space="preserve"> </w:t>
            </w:r>
            <w:r w:rsidRPr="009D7D72">
              <w:t>ризиком</w:t>
            </w:r>
            <w:r w:rsidR="00A20BA7">
              <w:t xml:space="preserve"> </w:t>
            </w:r>
            <w:r w:rsidRPr="009D7D72">
              <w:t>кредитног</w:t>
            </w:r>
            <w:r w:rsidR="00A20BA7">
              <w:t xml:space="preserve"> </w:t>
            </w:r>
            <w:r w:rsidRPr="009D7D72">
              <w:t>портфолија</w:t>
            </w:r>
            <w:r w:rsidR="00A20BA7">
              <w:t xml:space="preserve"> </w:t>
            </w:r>
            <w:r w:rsidRPr="009D7D72">
              <w:t>банке.</w:t>
            </w:r>
            <w:r w:rsidR="00A20BA7">
              <w:t xml:space="preserve"> </w:t>
            </w:r>
            <w:r w:rsidRPr="009D7D72">
              <w:t>Управљање</w:t>
            </w:r>
            <w:r w:rsidR="00A20BA7">
              <w:t xml:space="preserve"> </w:t>
            </w:r>
            <w:r w:rsidRPr="009D7D72">
              <w:t>ризиком</w:t>
            </w:r>
            <w:r w:rsidR="00A20BA7">
              <w:t xml:space="preserve"> </w:t>
            </w:r>
            <w:r w:rsidRPr="009D7D72">
              <w:t>инвестиционог</w:t>
            </w:r>
            <w:r w:rsidR="00A20BA7">
              <w:t xml:space="preserve"> </w:t>
            </w:r>
            <w:r w:rsidRPr="009D7D72">
              <w:t>портфолија</w:t>
            </w:r>
            <w:r w:rsidR="00A20BA7">
              <w:t xml:space="preserve"> </w:t>
            </w:r>
            <w:r w:rsidRPr="009D7D72">
              <w:t>банке.</w:t>
            </w:r>
            <w:r w:rsidR="00A20BA7">
              <w:t xml:space="preserve"> </w:t>
            </w:r>
            <w:r w:rsidRPr="009D7D72">
              <w:t>Управљање</w:t>
            </w:r>
            <w:r w:rsidR="00A20BA7">
              <w:t xml:space="preserve"> </w:t>
            </w:r>
            <w:r w:rsidRPr="009D7D72">
              <w:t>ризиком</w:t>
            </w:r>
            <w:r w:rsidR="00A20BA7">
              <w:t xml:space="preserve"> </w:t>
            </w:r>
            <w:r w:rsidRPr="009D7D72">
              <w:t>портфолија</w:t>
            </w:r>
            <w:r w:rsidR="00A20BA7">
              <w:t xml:space="preserve"> </w:t>
            </w:r>
            <w:r w:rsidRPr="009D7D72">
              <w:t>каматне</w:t>
            </w:r>
            <w:r w:rsidR="00A20BA7">
              <w:t xml:space="preserve"> </w:t>
            </w:r>
            <w:r w:rsidRPr="009D7D72">
              <w:t>стопе</w:t>
            </w:r>
            <w:r w:rsidR="00A20BA7">
              <w:t xml:space="preserve"> </w:t>
            </w:r>
            <w:r w:rsidRPr="009D7D72">
              <w:t>банке.</w:t>
            </w:r>
            <w:r w:rsidR="00A20BA7">
              <w:t xml:space="preserve"> </w:t>
            </w:r>
            <w:r w:rsidRPr="009D7D72">
              <w:t>Управљање</w:t>
            </w:r>
            <w:r w:rsidR="00A20BA7">
              <w:t xml:space="preserve"> </w:t>
            </w:r>
            <w:r w:rsidRPr="009D7D72">
              <w:t>ризиком</w:t>
            </w:r>
            <w:r w:rsidR="00A20BA7">
              <w:t xml:space="preserve"> </w:t>
            </w:r>
            <w:r w:rsidRPr="009D7D72">
              <w:t>портфолија</w:t>
            </w:r>
            <w:r w:rsidR="00A20BA7">
              <w:t xml:space="preserve"> </w:t>
            </w:r>
            <w:r w:rsidRPr="009D7D72">
              <w:t>девизног</w:t>
            </w:r>
            <w:r w:rsidR="00A20BA7">
              <w:t xml:space="preserve"> </w:t>
            </w:r>
            <w:r w:rsidRPr="009D7D72">
              <w:t>курса</w:t>
            </w:r>
            <w:r w:rsidR="00A20BA7">
              <w:t xml:space="preserve"> </w:t>
            </w:r>
            <w:r w:rsidRPr="009D7D72">
              <w:t>банке. Управљање</w:t>
            </w:r>
            <w:r w:rsidR="00A20BA7">
              <w:t xml:space="preserve"> </w:t>
            </w:r>
            <w:r w:rsidRPr="009D7D72">
              <w:t>ризиком</w:t>
            </w:r>
            <w:r w:rsidR="00A20BA7">
              <w:t xml:space="preserve"> </w:t>
            </w:r>
            <w:r w:rsidRPr="009D7D72">
              <w:t>портфолија</w:t>
            </w:r>
            <w:r w:rsidR="00A20BA7">
              <w:t xml:space="preserve"> </w:t>
            </w:r>
            <w:r w:rsidRPr="009D7D72">
              <w:t>ванбилансних</w:t>
            </w:r>
            <w:r w:rsidR="00A20BA7">
              <w:t xml:space="preserve"> </w:t>
            </w:r>
            <w:r w:rsidRPr="009D7D72">
              <w:t>активностибанке</w:t>
            </w:r>
          </w:p>
          <w:p w14:paraId="1FBE5CD0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rPr>
                <w:i/>
                <w:noProof/>
              </w:rPr>
              <w:t xml:space="preserve">Практична настава:  </w:t>
            </w:r>
            <w:r w:rsidRPr="009D7D72">
              <w:rPr>
                <w:noProof/>
              </w:rPr>
              <w:t xml:space="preserve">Ближе појашњавање неких од тема које се обрађују на предавањима.  Анализа и студијски истраживачки рад, на  управљању ризицима у банци. Припрема колоквијума и испита. Евалуација реализоване наставе и анализа њених резултата. </w:t>
            </w:r>
          </w:p>
        </w:tc>
      </w:tr>
      <w:tr w:rsidR="00E23DF7" w:rsidRPr="009D7D72" w14:paraId="61C5E757" w14:textId="77777777" w:rsidTr="00503D55">
        <w:trPr>
          <w:trHeight w:val="227"/>
        </w:trPr>
        <w:tc>
          <w:tcPr>
            <w:tcW w:w="9287" w:type="dxa"/>
            <w:gridSpan w:val="5"/>
            <w:vAlign w:val="center"/>
          </w:tcPr>
          <w:p w14:paraId="1A744E09" w14:textId="77777777" w:rsidR="00E23DF7" w:rsidRPr="00F36F51" w:rsidRDefault="00E23DF7" w:rsidP="00F36F51">
            <w:pPr>
              <w:framePr w:hSpace="0" w:wrap="auto" w:vAnchor="margin" w:hAnchor="text" w:yAlign="inline"/>
              <w:rPr>
                <w:sz w:val="20"/>
                <w:szCs w:val="20"/>
              </w:rPr>
            </w:pPr>
            <w:r w:rsidRPr="00F36F51">
              <w:rPr>
                <w:sz w:val="20"/>
                <w:szCs w:val="20"/>
              </w:rPr>
              <w:t>Литература:</w:t>
            </w:r>
          </w:p>
          <w:p w14:paraId="7AE276BF" w14:textId="77777777" w:rsidR="00E23DF7" w:rsidRPr="00F36F51" w:rsidRDefault="00E23DF7" w:rsidP="00F36F51">
            <w:pPr>
              <w:framePr w:hSpace="0" w:wrap="auto" w:vAnchor="margin" w:hAnchor="text" w:yAlign="inline"/>
              <w:rPr>
                <w:b/>
                <w:bCs/>
                <w:sz w:val="20"/>
                <w:szCs w:val="20"/>
              </w:rPr>
            </w:pPr>
            <w:r w:rsidRPr="00F36F51">
              <w:rPr>
                <w:sz w:val="20"/>
                <w:szCs w:val="20"/>
                <w:lang w:val="sl-SI"/>
              </w:rPr>
              <w:t>Koch</w:t>
            </w:r>
            <w:r w:rsidRPr="00F36F51">
              <w:rPr>
                <w:sz w:val="20"/>
                <w:szCs w:val="20"/>
              </w:rPr>
              <w:t>,</w:t>
            </w:r>
            <w:r w:rsidRPr="00F36F51">
              <w:rPr>
                <w:sz w:val="20"/>
                <w:szCs w:val="20"/>
                <w:lang w:val="sl-SI"/>
              </w:rPr>
              <w:t xml:space="preserve"> T. W.  Macdonald S. S.</w:t>
            </w:r>
            <w:r w:rsidRPr="00F36F51">
              <w:rPr>
                <w:sz w:val="20"/>
                <w:szCs w:val="20"/>
              </w:rPr>
              <w:t xml:space="preserve"> (2015):</w:t>
            </w:r>
            <w:r w:rsidRPr="00F36F51">
              <w:rPr>
                <w:i/>
                <w:sz w:val="20"/>
                <w:szCs w:val="20"/>
                <w:lang w:val="sl-SI"/>
              </w:rPr>
              <w:t>Bank Management</w:t>
            </w:r>
            <w:r w:rsidRPr="00F36F51">
              <w:rPr>
                <w:sz w:val="20"/>
                <w:szCs w:val="20"/>
                <w:lang w:val="sl-SI"/>
              </w:rPr>
              <w:t xml:space="preserve">, </w:t>
            </w:r>
            <w:r w:rsidRPr="00F36F51">
              <w:rPr>
                <w:sz w:val="20"/>
                <w:szCs w:val="20"/>
                <w:lang w:val="sr-Latn-CS"/>
              </w:rPr>
              <w:t>South-Western,</w:t>
            </w:r>
            <w:r w:rsidRPr="00F36F51">
              <w:rPr>
                <w:sz w:val="20"/>
                <w:szCs w:val="20"/>
              </w:rPr>
              <w:t xml:space="preserve">Cengage Learning, </w:t>
            </w:r>
            <w:r w:rsidRPr="00F36F51">
              <w:rPr>
                <w:sz w:val="20"/>
                <w:szCs w:val="20"/>
                <w:lang w:val="sr-Latn-CS"/>
              </w:rPr>
              <w:t>Mason, Ohio</w:t>
            </w:r>
          </w:p>
          <w:p w14:paraId="5CF28887" w14:textId="5796DC4B" w:rsidR="00E23DF7" w:rsidRPr="00F36F51" w:rsidRDefault="00E23DF7" w:rsidP="00F36F51">
            <w:pPr>
              <w:pStyle w:val="BodyText"/>
              <w:framePr w:hSpace="0" w:wrap="auto" w:vAnchor="margin" w:hAnchor="text" w:yAlign="inline"/>
              <w:jc w:val="both"/>
              <w:rPr>
                <w:rFonts w:ascii="Times New Roman" w:hAnsi="Times New Roman"/>
                <w:sz w:val="20"/>
                <w:lang w:val="sr-Latn-CS"/>
              </w:rPr>
            </w:pPr>
            <w:proofErr w:type="spellStart"/>
            <w:r w:rsidRPr="00F36F51">
              <w:rPr>
                <w:rFonts w:ascii="Times New Roman" w:hAnsi="Times New Roman"/>
                <w:sz w:val="20"/>
              </w:rPr>
              <w:t>Ћурч</w:t>
            </w:r>
            <w:r w:rsidR="00710C77" w:rsidRPr="00F36F51">
              <w:rPr>
                <w:rFonts w:ascii="Times New Roman" w:hAnsi="Times New Roman"/>
                <w:sz w:val="20"/>
              </w:rPr>
              <w:t>ић</w:t>
            </w:r>
            <w:proofErr w:type="spellEnd"/>
            <w:r w:rsidR="00710C77" w:rsidRPr="00F36F51">
              <w:rPr>
                <w:rFonts w:ascii="Times New Roman" w:hAnsi="Times New Roman"/>
                <w:sz w:val="20"/>
              </w:rPr>
              <w:t xml:space="preserve">, У.Н., </w:t>
            </w:r>
            <w:proofErr w:type="spellStart"/>
            <w:r w:rsidR="00710C77" w:rsidRPr="00F36F51">
              <w:rPr>
                <w:rFonts w:ascii="Times New Roman" w:hAnsi="Times New Roman"/>
                <w:sz w:val="20"/>
              </w:rPr>
              <w:t>Барјактаровић</w:t>
            </w:r>
            <w:proofErr w:type="spellEnd"/>
            <w:r w:rsidR="00710C77" w:rsidRPr="00F36F51">
              <w:rPr>
                <w:rFonts w:ascii="Times New Roman" w:hAnsi="Times New Roman"/>
                <w:sz w:val="20"/>
              </w:rPr>
              <w:t>,</w:t>
            </w:r>
            <w:r w:rsidR="00F36F5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proofErr w:type="gramStart"/>
            <w:r w:rsidR="00710C77" w:rsidRPr="00F36F51">
              <w:rPr>
                <w:rFonts w:ascii="Times New Roman" w:hAnsi="Times New Roman"/>
                <w:sz w:val="20"/>
              </w:rPr>
              <w:t>М.(</w:t>
            </w:r>
            <w:proofErr w:type="gramEnd"/>
            <w:r w:rsidR="00710C77" w:rsidRPr="00F36F51">
              <w:rPr>
                <w:rFonts w:ascii="Times New Roman" w:hAnsi="Times New Roman"/>
                <w:sz w:val="20"/>
              </w:rPr>
              <w:t>2014</w:t>
            </w:r>
            <w:r w:rsidRPr="00F36F51">
              <w:rPr>
                <w:rFonts w:ascii="Times New Roman" w:hAnsi="Times New Roman"/>
                <w:sz w:val="20"/>
              </w:rPr>
              <w:t>):</w:t>
            </w:r>
            <w:r w:rsidR="00F36F51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proofErr w:type="spellStart"/>
            <w:r w:rsidRPr="00F36F51">
              <w:rPr>
                <w:rFonts w:ascii="Times New Roman" w:hAnsi="Times New Roman"/>
                <w:i/>
                <w:sz w:val="20"/>
              </w:rPr>
              <w:t>Банкарски</w:t>
            </w:r>
            <w:proofErr w:type="spellEnd"/>
            <w:r w:rsidRPr="00F36F51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36F51">
              <w:rPr>
                <w:rFonts w:ascii="Times New Roman" w:hAnsi="Times New Roman"/>
                <w:i/>
                <w:sz w:val="20"/>
              </w:rPr>
              <w:t>портфолио</w:t>
            </w:r>
            <w:proofErr w:type="spellEnd"/>
            <w:r w:rsidRPr="00F36F51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36F51">
              <w:rPr>
                <w:rFonts w:ascii="Times New Roman" w:hAnsi="Times New Roman"/>
                <w:i/>
                <w:sz w:val="20"/>
              </w:rPr>
              <w:t>менаџмент</w:t>
            </w:r>
            <w:proofErr w:type="spellEnd"/>
            <w:r w:rsidRPr="00F36F5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36F51">
              <w:rPr>
                <w:rFonts w:ascii="Times New Roman" w:hAnsi="Times New Roman"/>
                <w:sz w:val="20"/>
              </w:rPr>
              <w:t>Универзитет</w:t>
            </w:r>
            <w:proofErr w:type="spellEnd"/>
            <w:r w:rsidRPr="00F36F51">
              <w:rPr>
                <w:rFonts w:ascii="Times New Roman" w:hAnsi="Times New Roman"/>
                <w:sz w:val="20"/>
              </w:rPr>
              <w:t xml:space="preserve"> „</w:t>
            </w:r>
            <w:proofErr w:type="spellStart"/>
            <w:r w:rsidRPr="00F36F51">
              <w:rPr>
                <w:rFonts w:ascii="Times New Roman" w:hAnsi="Times New Roman"/>
                <w:sz w:val="20"/>
              </w:rPr>
              <w:t>Браћа</w:t>
            </w:r>
            <w:proofErr w:type="spellEnd"/>
            <w:r w:rsidRPr="00F36F5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36F51">
              <w:rPr>
                <w:rFonts w:ascii="Times New Roman" w:hAnsi="Times New Roman"/>
                <w:sz w:val="20"/>
              </w:rPr>
              <w:t>Карић</w:t>
            </w:r>
            <w:proofErr w:type="spellEnd"/>
            <w:r w:rsidRPr="00F36F51">
              <w:rPr>
                <w:rFonts w:ascii="Times New Roman" w:hAnsi="Times New Roman"/>
                <w:sz w:val="20"/>
              </w:rPr>
              <w:t xml:space="preserve">“, </w:t>
            </w:r>
            <w:proofErr w:type="spellStart"/>
            <w:r w:rsidRPr="00F36F51">
              <w:rPr>
                <w:rFonts w:ascii="Times New Roman" w:hAnsi="Times New Roman"/>
                <w:sz w:val="20"/>
              </w:rPr>
              <w:t>Београд</w:t>
            </w:r>
            <w:proofErr w:type="spellEnd"/>
          </w:p>
          <w:p w14:paraId="5F6C88B8" w14:textId="77777777" w:rsidR="00E23DF7" w:rsidRPr="00F36F51" w:rsidRDefault="00E23DF7" w:rsidP="00F36F51">
            <w:pPr>
              <w:framePr w:hSpace="0" w:wrap="auto" w:vAnchor="margin" w:hAnchor="text" w:yAlign="inline"/>
              <w:rPr>
                <w:sz w:val="20"/>
                <w:szCs w:val="20"/>
              </w:rPr>
            </w:pPr>
            <w:r w:rsidRPr="00F36F51">
              <w:rPr>
                <w:sz w:val="20"/>
                <w:szCs w:val="20"/>
              </w:rPr>
              <w:t xml:space="preserve">Ђукић Ђ., (2007), </w:t>
            </w:r>
            <w:r w:rsidRPr="00F36F51">
              <w:rPr>
                <w:i/>
                <w:sz w:val="20"/>
                <w:szCs w:val="20"/>
              </w:rPr>
              <w:t>Управљање ризицима и капиталом у банкама</w:t>
            </w:r>
            <w:r w:rsidRPr="00F36F51">
              <w:rPr>
                <w:sz w:val="20"/>
                <w:szCs w:val="20"/>
              </w:rPr>
              <w:t xml:space="preserve">, Београдска берза, Београд </w:t>
            </w:r>
          </w:p>
        </w:tc>
      </w:tr>
      <w:tr w:rsidR="00E23DF7" w:rsidRPr="009D7D72" w14:paraId="533AE3D2" w14:textId="77777777" w:rsidTr="00503D55">
        <w:trPr>
          <w:trHeight w:val="227"/>
        </w:trPr>
        <w:tc>
          <w:tcPr>
            <w:tcW w:w="3561" w:type="dxa"/>
            <w:vAlign w:val="center"/>
          </w:tcPr>
          <w:p w14:paraId="0048CF0C" w14:textId="77777777" w:rsidR="00E23DF7" w:rsidRPr="009D7D72" w:rsidRDefault="00E23DF7" w:rsidP="00F36F51">
            <w:pPr>
              <w:framePr w:hSpace="0" w:wrap="auto" w:vAnchor="margin" w:hAnchor="text" w:yAlign="inline"/>
              <w:rPr>
                <w:bCs/>
              </w:rPr>
            </w:pPr>
            <w:r w:rsidRPr="009D7D72">
              <w:rPr>
                <w:bCs/>
              </w:rPr>
              <w:t xml:space="preserve">Број часова </w:t>
            </w:r>
            <w:r w:rsidRPr="009D7D72">
              <w:t xml:space="preserve"> активне наставе</w:t>
            </w:r>
          </w:p>
        </w:tc>
        <w:tc>
          <w:tcPr>
            <w:tcW w:w="2570" w:type="dxa"/>
            <w:gridSpan w:val="2"/>
            <w:vAlign w:val="center"/>
          </w:tcPr>
          <w:p w14:paraId="043BBC0E" w14:textId="77777777" w:rsidR="00E23DF7" w:rsidRPr="0073509A" w:rsidRDefault="00E23DF7" w:rsidP="00F36F51">
            <w:pPr>
              <w:framePr w:hSpace="0" w:wrap="auto" w:vAnchor="margin" w:hAnchor="text" w:yAlign="inline"/>
              <w:rPr>
                <w:bCs/>
              </w:rPr>
            </w:pPr>
            <w:r w:rsidRPr="009D7D72">
              <w:t xml:space="preserve">Теоријска настава: </w:t>
            </w:r>
            <w:r w:rsidR="0073509A">
              <w:t>3</w:t>
            </w:r>
          </w:p>
        </w:tc>
        <w:tc>
          <w:tcPr>
            <w:tcW w:w="3156" w:type="dxa"/>
            <w:gridSpan w:val="2"/>
            <w:vAlign w:val="center"/>
          </w:tcPr>
          <w:p w14:paraId="02AA1D83" w14:textId="77777777" w:rsidR="00E23DF7" w:rsidRPr="0073509A" w:rsidRDefault="00E23DF7" w:rsidP="00F36F51">
            <w:pPr>
              <w:framePr w:hSpace="0" w:wrap="auto" w:vAnchor="margin" w:hAnchor="text" w:yAlign="inline"/>
              <w:rPr>
                <w:bCs/>
              </w:rPr>
            </w:pPr>
            <w:r w:rsidRPr="009D7D72">
              <w:t xml:space="preserve">Практична настава: </w:t>
            </w:r>
            <w:r w:rsidR="0073509A">
              <w:t>2</w:t>
            </w:r>
          </w:p>
        </w:tc>
      </w:tr>
      <w:tr w:rsidR="00E23DF7" w:rsidRPr="009D7D72" w14:paraId="3F2F31EE" w14:textId="77777777" w:rsidTr="00503D55">
        <w:trPr>
          <w:trHeight w:val="227"/>
        </w:trPr>
        <w:tc>
          <w:tcPr>
            <w:tcW w:w="9287" w:type="dxa"/>
            <w:gridSpan w:val="5"/>
            <w:vAlign w:val="center"/>
          </w:tcPr>
          <w:p w14:paraId="1542CFEB" w14:textId="77777777" w:rsidR="00E23DF7" w:rsidRPr="009D7D72" w:rsidRDefault="00E23DF7" w:rsidP="00F36F51">
            <w:pPr>
              <w:framePr w:hSpace="0" w:wrap="auto" w:vAnchor="margin" w:hAnchor="text" w:yAlign="inline"/>
              <w:rPr>
                <w:b/>
                <w:bCs/>
              </w:rPr>
            </w:pPr>
            <w:r w:rsidRPr="009D7D72">
              <w:rPr>
                <w:b/>
                <w:bCs/>
              </w:rPr>
              <w:t xml:space="preserve">Методе извођења наставе: </w:t>
            </w:r>
            <w:r w:rsidRPr="009D7D72">
              <w:rPr>
                <w:rFonts w:eastAsia="Arial"/>
                <w:noProof/>
                <w:w w:val="74"/>
              </w:rPr>
              <w:t>Ex</w:t>
            </w:r>
            <w:r w:rsidRPr="009D7D72">
              <w:rPr>
                <w:rFonts w:eastAsia="Arial"/>
                <w:noProof/>
                <w:w w:val="84"/>
              </w:rPr>
              <w:t>catedra;</w:t>
            </w:r>
            <w:r w:rsidRPr="009D7D72">
              <w:rPr>
                <w:rFonts w:eastAsia="Arial"/>
                <w:noProof/>
                <w:w w:val="83"/>
              </w:rPr>
              <w:t>интерактивни</w:t>
            </w:r>
            <w:r w:rsidRPr="009D7D72">
              <w:rPr>
                <w:rFonts w:eastAsia="Arial"/>
                <w:noProof/>
                <w:w w:val="85"/>
              </w:rPr>
              <w:t>метод;</w:t>
            </w:r>
            <w:r w:rsidRPr="009D7D72">
              <w:rPr>
                <w:rFonts w:eastAsia="Arial"/>
                <w:noProof/>
                <w:w w:val="84"/>
              </w:rPr>
              <w:t>анализаслучајева</w:t>
            </w:r>
            <w:r w:rsidRPr="009D7D72">
              <w:rPr>
                <w:rFonts w:eastAsia="Arial"/>
                <w:noProof/>
                <w:w w:val="91"/>
              </w:rPr>
              <w:t>из</w:t>
            </w:r>
            <w:r w:rsidRPr="009D7D72">
              <w:rPr>
                <w:rFonts w:eastAsia="Arial"/>
                <w:noProof/>
                <w:w w:val="84"/>
              </w:rPr>
              <w:t>праксе</w:t>
            </w:r>
          </w:p>
        </w:tc>
      </w:tr>
      <w:tr w:rsidR="00E23DF7" w:rsidRPr="009D7D72" w14:paraId="2E7A0BF4" w14:textId="77777777" w:rsidTr="00503D55">
        <w:trPr>
          <w:trHeight w:val="227"/>
        </w:trPr>
        <w:tc>
          <w:tcPr>
            <w:tcW w:w="9287" w:type="dxa"/>
            <w:gridSpan w:val="5"/>
            <w:vAlign w:val="center"/>
          </w:tcPr>
          <w:p w14:paraId="109B3CD9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>Оцена  знања (максимални број поена 100)</w:t>
            </w:r>
          </w:p>
        </w:tc>
      </w:tr>
      <w:tr w:rsidR="00E23DF7" w:rsidRPr="009D7D72" w14:paraId="148D33B8" w14:textId="77777777" w:rsidTr="00503D55">
        <w:trPr>
          <w:trHeight w:val="227"/>
        </w:trPr>
        <w:tc>
          <w:tcPr>
            <w:tcW w:w="3561" w:type="dxa"/>
            <w:vAlign w:val="center"/>
          </w:tcPr>
          <w:p w14:paraId="1B294F2F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>Предиспитне обавезе</w:t>
            </w:r>
          </w:p>
        </w:tc>
        <w:tc>
          <w:tcPr>
            <w:tcW w:w="772" w:type="dxa"/>
            <w:vAlign w:val="center"/>
          </w:tcPr>
          <w:p w14:paraId="1ACF72C0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>поена</w:t>
            </w:r>
          </w:p>
          <w:p w14:paraId="2371FDD4" w14:textId="77777777" w:rsidR="00E23DF7" w:rsidRPr="009D7D72" w:rsidRDefault="00E23DF7" w:rsidP="00F36F51">
            <w:pPr>
              <w:framePr w:hSpace="0" w:wrap="auto" w:vAnchor="margin" w:hAnchor="text" w:yAlign="inline"/>
            </w:pPr>
          </w:p>
        </w:tc>
        <w:tc>
          <w:tcPr>
            <w:tcW w:w="2427" w:type="dxa"/>
            <w:gridSpan w:val="2"/>
            <w:vAlign w:val="center"/>
          </w:tcPr>
          <w:p w14:paraId="67236BD4" w14:textId="77777777" w:rsidR="00E23DF7" w:rsidRPr="009D7D72" w:rsidRDefault="00E23DF7" w:rsidP="00F36F51">
            <w:pPr>
              <w:framePr w:hSpace="0" w:wrap="auto" w:vAnchor="margin" w:hAnchor="text" w:yAlign="inline"/>
              <w:rPr>
                <w:bCs/>
              </w:rPr>
            </w:pPr>
            <w:r w:rsidRPr="009D7D72">
              <w:t xml:space="preserve">Завршни испит </w:t>
            </w:r>
          </w:p>
        </w:tc>
        <w:tc>
          <w:tcPr>
            <w:tcW w:w="2527" w:type="dxa"/>
            <w:vAlign w:val="center"/>
          </w:tcPr>
          <w:p w14:paraId="54EC9E99" w14:textId="77777777" w:rsidR="00E23DF7" w:rsidRPr="009D7D72" w:rsidRDefault="00E23DF7" w:rsidP="00F36F51">
            <w:pPr>
              <w:framePr w:hSpace="0" w:wrap="auto" w:vAnchor="margin" w:hAnchor="text" w:yAlign="inline"/>
              <w:rPr>
                <w:b/>
                <w:bCs/>
              </w:rPr>
            </w:pPr>
            <w:r w:rsidRPr="009D7D72">
              <w:t>поена</w:t>
            </w:r>
          </w:p>
        </w:tc>
      </w:tr>
      <w:tr w:rsidR="00E23DF7" w:rsidRPr="009D7D72" w14:paraId="1E604622" w14:textId="77777777" w:rsidTr="00503D55">
        <w:trPr>
          <w:trHeight w:val="227"/>
        </w:trPr>
        <w:tc>
          <w:tcPr>
            <w:tcW w:w="3561" w:type="dxa"/>
            <w:vAlign w:val="center"/>
          </w:tcPr>
          <w:p w14:paraId="0805CF0C" w14:textId="77777777" w:rsidR="00E23DF7" w:rsidRPr="009D7D72" w:rsidRDefault="00E23DF7" w:rsidP="00F36F51">
            <w:pPr>
              <w:framePr w:hSpace="0" w:wrap="auto" w:vAnchor="margin" w:hAnchor="text" w:yAlign="inline"/>
              <w:rPr>
                <w:i/>
              </w:rPr>
            </w:pPr>
            <w:r w:rsidRPr="009D7D72">
              <w:t>активност у току предавања</w:t>
            </w:r>
          </w:p>
        </w:tc>
        <w:tc>
          <w:tcPr>
            <w:tcW w:w="772" w:type="dxa"/>
            <w:vAlign w:val="center"/>
          </w:tcPr>
          <w:p w14:paraId="61E4B17C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>10</w:t>
            </w:r>
          </w:p>
        </w:tc>
        <w:tc>
          <w:tcPr>
            <w:tcW w:w="2427" w:type="dxa"/>
            <w:gridSpan w:val="2"/>
            <w:vAlign w:val="center"/>
          </w:tcPr>
          <w:p w14:paraId="1D79CFBF" w14:textId="77777777" w:rsidR="00E23DF7" w:rsidRPr="009D7D72" w:rsidRDefault="00E23DF7" w:rsidP="00F36F51">
            <w:pPr>
              <w:framePr w:hSpace="0" w:wrap="auto" w:vAnchor="margin" w:hAnchor="text" w:yAlign="inline"/>
              <w:rPr>
                <w:i/>
              </w:rPr>
            </w:pPr>
            <w:r w:rsidRPr="009D7D72">
              <w:t>писмени испит</w:t>
            </w:r>
          </w:p>
        </w:tc>
        <w:tc>
          <w:tcPr>
            <w:tcW w:w="2527" w:type="dxa"/>
            <w:vAlign w:val="center"/>
          </w:tcPr>
          <w:p w14:paraId="652382DD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>-</w:t>
            </w:r>
          </w:p>
        </w:tc>
      </w:tr>
      <w:tr w:rsidR="00E23DF7" w:rsidRPr="009D7D72" w14:paraId="55A1A4A6" w14:textId="77777777" w:rsidTr="00503D55">
        <w:trPr>
          <w:trHeight w:val="227"/>
        </w:trPr>
        <w:tc>
          <w:tcPr>
            <w:tcW w:w="3561" w:type="dxa"/>
            <w:vAlign w:val="center"/>
          </w:tcPr>
          <w:p w14:paraId="6E6F44C4" w14:textId="77777777" w:rsidR="00E23DF7" w:rsidRPr="009D7D72" w:rsidRDefault="00E23DF7" w:rsidP="00F36F51">
            <w:pPr>
              <w:framePr w:hSpace="0" w:wrap="auto" w:vAnchor="margin" w:hAnchor="text" w:yAlign="inline"/>
              <w:rPr>
                <w:i/>
              </w:rPr>
            </w:pPr>
            <w:r w:rsidRPr="009D7D72">
              <w:t>практична настава</w:t>
            </w:r>
          </w:p>
        </w:tc>
        <w:tc>
          <w:tcPr>
            <w:tcW w:w="772" w:type="dxa"/>
            <w:vAlign w:val="center"/>
          </w:tcPr>
          <w:p w14:paraId="3DADF8CE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>10</w:t>
            </w:r>
          </w:p>
        </w:tc>
        <w:tc>
          <w:tcPr>
            <w:tcW w:w="2427" w:type="dxa"/>
            <w:gridSpan w:val="2"/>
            <w:vAlign w:val="center"/>
          </w:tcPr>
          <w:p w14:paraId="562EDC5D" w14:textId="77777777" w:rsidR="00E23DF7" w:rsidRPr="009D7D72" w:rsidRDefault="00E23DF7" w:rsidP="00F36F51">
            <w:pPr>
              <w:framePr w:hSpace="0" w:wrap="auto" w:vAnchor="margin" w:hAnchor="text" w:yAlign="inline"/>
              <w:rPr>
                <w:i/>
              </w:rPr>
            </w:pPr>
            <w:r w:rsidRPr="009D7D72">
              <w:t>усмени испт</w:t>
            </w:r>
          </w:p>
        </w:tc>
        <w:tc>
          <w:tcPr>
            <w:tcW w:w="2527" w:type="dxa"/>
            <w:vAlign w:val="center"/>
          </w:tcPr>
          <w:p w14:paraId="5EC8BA58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>30</w:t>
            </w:r>
          </w:p>
        </w:tc>
      </w:tr>
      <w:tr w:rsidR="00E23DF7" w:rsidRPr="009D7D72" w14:paraId="273A1A11" w14:textId="77777777" w:rsidTr="00503D55">
        <w:trPr>
          <w:trHeight w:val="227"/>
        </w:trPr>
        <w:tc>
          <w:tcPr>
            <w:tcW w:w="3561" w:type="dxa"/>
            <w:vAlign w:val="center"/>
          </w:tcPr>
          <w:p w14:paraId="3536569D" w14:textId="77777777" w:rsidR="00E23DF7" w:rsidRPr="009D7D72" w:rsidRDefault="00E23DF7" w:rsidP="00F36F51">
            <w:pPr>
              <w:framePr w:hSpace="0" w:wrap="auto" w:vAnchor="margin" w:hAnchor="text" w:yAlign="inline"/>
              <w:rPr>
                <w:i/>
              </w:rPr>
            </w:pPr>
            <w:r w:rsidRPr="009D7D72">
              <w:t>колоквијум-и</w:t>
            </w:r>
          </w:p>
        </w:tc>
        <w:tc>
          <w:tcPr>
            <w:tcW w:w="772" w:type="dxa"/>
            <w:vAlign w:val="center"/>
          </w:tcPr>
          <w:p w14:paraId="00A58481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>40</w:t>
            </w:r>
          </w:p>
        </w:tc>
        <w:tc>
          <w:tcPr>
            <w:tcW w:w="2427" w:type="dxa"/>
            <w:gridSpan w:val="2"/>
            <w:vAlign w:val="center"/>
          </w:tcPr>
          <w:p w14:paraId="68D8F691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>..........</w:t>
            </w:r>
          </w:p>
        </w:tc>
        <w:tc>
          <w:tcPr>
            <w:tcW w:w="2527" w:type="dxa"/>
            <w:vAlign w:val="center"/>
          </w:tcPr>
          <w:p w14:paraId="6678113C" w14:textId="77777777" w:rsidR="00E23DF7" w:rsidRPr="009D7D72" w:rsidRDefault="00E23DF7" w:rsidP="00F36F51">
            <w:pPr>
              <w:framePr w:hSpace="0" w:wrap="auto" w:vAnchor="margin" w:hAnchor="text" w:yAlign="inline"/>
            </w:pPr>
          </w:p>
        </w:tc>
      </w:tr>
      <w:tr w:rsidR="00E23DF7" w:rsidRPr="009D7D72" w14:paraId="23C91D0B" w14:textId="77777777" w:rsidTr="00503D55">
        <w:trPr>
          <w:trHeight w:val="227"/>
        </w:trPr>
        <w:tc>
          <w:tcPr>
            <w:tcW w:w="3561" w:type="dxa"/>
            <w:vAlign w:val="center"/>
          </w:tcPr>
          <w:p w14:paraId="7B06CDE5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>семинар-и</w:t>
            </w:r>
          </w:p>
        </w:tc>
        <w:tc>
          <w:tcPr>
            <w:tcW w:w="772" w:type="dxa"/>
            <w:vAlign w:val="center"/>
          </w:tcPr>
          <w:p w14:paraId="4F15D495" w14:textId="77777777" w:rsidR="00E23DF7" w:rsidRPr="009D7D72" w:rsidRDefault="00E23DF7" w:rsidP="00F36F51">
            <w:pPr>
              <w:framePr w:hSpace="0" w:wrap="auto" w:vAnchor="margin" w:hAnchor="text" w:yAlign="inline"/>
            </w:pPr>
            <w:r w:rsidRPr="009D7D72">
              <w:t>10</w:t>
            </w:r>
          </w:p>
        </w:tc>
        <w:tc>
          <w:tcPr>
            <w:tcW w:w="2427" w:type="dxa"/>
            <w:gridSpan w:val="2"/>
            <w:vAlign w:val="center"/>
          </w:tcPr>
          <w:p w14:paraId="138944DA" w14:textId="77777777" w:rsidR="00E23DF7" w:rsidRPr="009D7D72" w:rsidRDefault="00E23DF7" w:rsidP="00F36F51">
            <w:pPr>
              <w:framePr w:hSpace="0" w:wrap="auto" w:vAnchor="margin" w:hAnchor="text" w:yAlign="inline"/>
            </w:pPr>
          </w:p>
        </w:tc>
        <w:tc>
          <w:tcPr>
            <w:tcW w:w="2527" w:type="dxa"/>
            <w:vAlign w:val="center"/>
          </w:tcPr>
          <w:p w14:paraId="1423282E" w14:textId="77777777" w:rsidR="00E23DF7" w:rsidRPr="009D7D72" w:rsidRDefault="00E23DF7" w:rsidP="00F36F51">
            <w:pPr>
              <w:framePr w:hSpace="0" w:wrap="auto" w:vAnchor="margin" w:hAnchor="text" w:yAlign="inline"/>
            </w:pPr>
          </w:p>
        </w:tc>
      </w:tr>
    </w:tbl>
    <w:p w14:paraId="756BE88A" w14:textId="77777777" w:rsidR="00E77C70" w:rsidRDefault="00E77C70" w:rsidP="00F36F51">
      <w:pPr>
        <w:framePr w:wrap="around"/>
      </w:pPr>
    </w:p>
    <w:sectPr w:rsidR="00E77C70" w:rsidSect="006A0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L Times Roman B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DF7"/>
    <w:rsid w:val="003038A1"/>
    <w:rsid w:val="005200C5"/>
    <w:rsid w:val="006A05D3"/>
    <w:rsid w:val="00710C77"/>
    <w:rsid w:val="0073509A"/>
    <w:rsid w:val="008868D4"/>
    <w:rsid w:val="00A20BA7"/>
    <w:rsid w:val="00A336E1"/>
    <w:rsid w:val="00A56B3F"/>
    <w:rsid w:val="00A856F4"/>
    <w:rsid w:val="00B02203"/>
    <w:rsid w:val="00B340FD"/>
    <w:rsid w:val="00C13984"/>
    <w:rsid w:val="00C91E0B"/>
    <w:rsid w:val="00E23DF7"/>
    <w:rsid w:val="00E77C70"/>
    <w:rsid w:val="00F3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17143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36F51"/>
    <w:pPr>
      <w:framePr w:hSpace="180" w:wrap="around" w:vAnchor="text" w:hAnchor="margin" w:y="-360"/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color w:val="000000"/>
      <w:kern w:val="32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DF7"/>
    <w:pPr>
      <w:framePr w:wrap="around"/>
      <w:jc w:val="center"/>
    </w:pPr>
    <w:rPr>
      <w:rFonts w:ascii="Yu L Times Roman BS" w:hAnsi="Yu L Times Roman BS"/>
      <w:b/>
      <w:iCs w:val="0"/>
      <w:color w:val="auto"/>
      <w:kern w:val="0"/>
      <w:sz w:val="4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23DF7"/>
    <w:rPr>
      <w:rFonts w:ascii="Yu L Times Roman BS" w:eastAsia="Times New Roman" w:hAnsi="Yu L Times Roman BS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10</cp:revision>
  <dcterms:created xsi:type="dcterms:W3CDTF">2020-10-20T13:06:00Z</dcterms:created>
  <dcterms:modified xsi:type="dcterms:W3CDTF">2025-07-03T10:55:00Z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6afb94e2-7d31-4777-aab3-6abdc72a6bb2</vt:lpwstr>
  </property>
</Properties>
</file>